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EC" w:rsidRPr="00E719EC" w:rsidRDefault="007A045F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COLONIALISM: POPULATION DIVERSITY IN AUSTRALIA AND INDIA</w:t>
      </w:r>
    </w:p>
    <w:p w:rsidR="00E719EC" w:rsidRPr="00E719EC" w:rsidRDefault="00E719EC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19EC" w:rsidRPr="00E719EC" w:rsidRDefault="00F2726D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Britain</w:t>
      </w:r>
      <w:r w:rsidR="0007787A">
        <w:rPr>
          <w:rFonts w:ascii="Times New Roman" w:eastAsiaTheme="minorEastAsia" w:hAnsi="Times New Roman" w:cs="Times New Roman"/>
          <w:sz w:val="28"/>
          <w:szCs w:val="28"/>
        </w:rPr>
        <w:t>'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 </w:t>
      </w:r>
      <w:r w:rsidR="00BE0D18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E719EC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olonialism had myriad </w:t>
      </w:r>
      <w:r w:rsidR="00A82144">
        <w:rPr>
          <w:rFonts w:ascii="Times New Roman" w:eastAsiaTheme="minorEastAsia" w:hAnsi="Times New Roman" w:cs="Times New Roman"/>
          <w:sz w:val="28"/>
          <w:szCs w:val="28"/>
        </w:rPr>
        <w:t xml:space="preserve">consequences on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its subjects. </w:t>
      </w:r>
      <w:r w:rsidR="00452D65">
        <w:rPr>
          <w:rFonts w:ascii="Times New Roman" w:eastAsiaTheme="minorEastAsia" w:hAnsi="Times New Roman" w:cs="Times New Roman"/>
          <w:sz w:val="28"/>
          <w:szCs w:val="28"/>
        </w:rPr>
        <w:t xml:space="preserve">My </w:t>
      </w:r>
      <w:r w:rsidR="0007787A">
        <w:rPr>
          <w:rFonts w:ascii="Times New Roman" w:eastAsiaTheme="minorEastAsia" w:hAnsi="Times New Roman" w:cs="Times New Roman"/>
          <w:sz w:val="28"/>
          <w:szCs w:val="28"/>
        </w:rPr>
        <w:t xml:space="preserve">brief commentary reflects </w:t>
      </w:r>
      <w:r w:rsidR="00BE0D18">
        <w:rPr>
          <w:rFonts w:ascii="Times New Roman" w:eastAsiaTheme="minorEastAsia" w:hAnsi="Times New Roman" w:cs="Times New Roman"/>
          <w:sz w:val="28"/>
          <w:szCs w:val="28"/>
        </w:rPr>
        <w:t xml:space="preserve">on its 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 xml:space="preserve">historical and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contrasting effect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 on population </w:t>
      </w:r>
      <w:r w:rsidR="00E719EC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diversity </w:t>
      </w:r>
      <w:r w:rsidR="00BE0D18">
        <w:rPr>
          <w:rFonts w:ascii="Times New Roman" w:eastAsiaTheme="minorEastAsia" w:hAnsi="Times New Roman" w:cs="Times New Roman"/>
          <w:sz w:val="28"/>
          <w:szCs w:val="28"/>
        </w:rPr>
        <w:t xml:space="preserve">in </w:t>
      </w:r>
      <w:r w:rsidR="00E719EC" w:rsidRPr="00E719EC">
        <w:rPr>
          <w:rFonts w:ascii="Times New Roman" w:eastAsiaTheme="minorEastAsia" w:hAnsi="Times New Roman" w:cs="Times New Roman"/>
          <w:sz w:val="28"/>
          <w:szCs w:val="28"/>
        </w:rPr>
        <w:t>Australia and India.</w:t>
      </w:r>
    </w:p>
    <w:p w:rsidR="0007787A" w:rsidRDefault="0007787A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719EC" w:rsidRDefault="0007787A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="00E719EC" w:rsidRPr="00E719EC">
        <w:rPr>
          <w:rFonts w:ascii="Times New Roman" w:eastAsiaTheme="minorEastAsia" w:hAnsi="Times New Roman" w:cs="Times New Roman"/>
          <w:sz w:val="28"/>
          <w:szCs w:val="28"/>
        </w:rPr>
        <w:t>Indian political and social refrain is that Ind</w:t>
      </w:r>
      <w:r w:rsidR="00A82144">
        <w:rPr>
          <w:rFonts w:ascii="Times New Roman" w:eastAsiaTheme="minorEastAsia" w:hAnsi="Times New Roman" w:cs="Times New Roman"/>
          <w:sz w:val="28"/>
          <w:szCs w:val="28"/>
        </w:rPr>
        <w:t xml:space="preserve">ia's political </w:t>
      </w:r>
      <w:r w:rsidR="00F157D4">
        <w:rPr>
          <w:rFonts w:ascii="Times New Roman" w:eastAsiaTheme="minorEastAsia" w:hAnsi="Times New Roman" w:cs="Times New Roman"/>
          <w:sz w:val="28"/>
          <w:szCs w:val="28"/>
        </w:rPr>
        <w:t xml:space="preserve">and cultural </w:t>
      </w:r>
      <w:r w:rsidR="00E719EC" w:rsidRPr="00E719EC">
        <w:rPr>
          <w:rFonts w:ascii="Times New Roman" w:eastAsiaTheme="minorEastAsia" w:hAnsi="Times New Roman" w:cs="Times New Roman"/>
          <w:sz w:val="28"/>
          <w:szCs w:val="28"/>
        </w:rPr>
        <w:t>diversity is its greatest strength ("Unity in Diver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sity"). The sheer range of its </w:t>
      </w:r>
      <w:r w:rsidR="00BE0D18">
        <w:rPr>
          <w:rFonts w:ascii="Times New Roman" w:eastAsiaTheme="minorEastAsia" w:hAnsi="Times New Roman" w:cs="Times New Roman"/>
          <w:sz w:val="28"/>
          <w:szCs w:val="28"/>
        </w:rPr>
        <w:t>multi-religious/lingual/caste/po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litical </w:t>
      </w:r>
      <w:r w:rsidR="00630C81">
        <w:rPr>
          <w:rFonts w:ascii="Times New Roman" w:eastAsiaTheme="minorEastAsia" w:hAnsi="Times New Roman" w:cs="Times New Roman"/>
          <w:sz w:val="28"/>
          <w:szCs w:val="28"/>
        </w:rPr>
        <w:t>orientations is unmatched in the world.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 T</w:t>
      </w:r>
      <w:r w:rsidR="004C5678">
        <w:rPr>
          <w:rFonts w:ascii="Times New Roman" w:eastAsiaTheme="minorEastAsia" w:hAnsi="Times New Roman" w:cs="Times New Roman"/>
          <w:sz w:val="28"/>
          <w:szCs w:val="28"/>
        </w:rPr>
        <w:t xml:space="preserve">wo maps below, one showing pre-independence </w:t>
      </w:r>
      <w:r w:rsidR="00F157D4">
        <w:rPr>
          <w:rFonts w:ascii="Times New Roman" w:eastAsiaTheme="minorEastAsia" w:hAnsi="Times New Roman" w:cs="Times New Roman"/>
          <w:sz w:val="28"/>
          <w:szCs w:val="28"/>
        </w:rPr>
        <w:t>territorial</w:t>
      </w:r>
      <w:r w:rsidR="00452D65">
        <w:rPr>
          <w:rFonts w:ascii="Times New Roman" w:eastAsiaTheme="minorEastAsia" w:hAnsi="Times New Roman" w:cs="Times New Roman"/>
          <w:sz w:val="28"/>
          <w:szCs w:val="28"/>
        </w:rPr>
        <w:t>/political</w:t>
      </w:r>
      <w:r w:rsidR="00F157D4">
        <w:rPr>
          <w:rFonts w:ascii="Times New Roman" w:eastAsiaTheme="minorEastAsia" w:hAnsi="Times New Roman" w:cs="Times New Roman"/>
          <w:sz w:val="28"/>
          <w:szCs w:val="28"/>
        </w:rPr>
        <w:t xml:space="preserve"> boundaries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>, the other linguistic delineations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82144">
        <w:rPr>
          <w:rFonts w:ascii="Times New Roman" w:eastAsiaTheme="minorEastAsia" w:hAnsi="Times New Roman" w:cs="Times New Roman"/>
          <w:sz w:val="28"/>
          <w:szCs w:val="28"/>
        </w:rPr>
        <w:t xml:space="preserve">give an idea of </w:t>
      </w:r>
      <w:r w:rsidR="004C5678">
        <w:rPr>
          <w:rFonts w:ascii="Times New Roman" w:eastAsiaTheme="minorEastAsia" w:hAnsi="Times New Roman" w:cs="Times New Roman"/>
          <w:sz w:val="28"/>
          <w:szCs w:val="28"/>
        </w:rPr>
        <w:t xml:space="preserve">Indian </w:t>
      </w:r>
      <w:r w:rsidR="00452D65">
        <w:rPr>
          <w:rFonts w:ascii="Times New Roman" w:eastAsiaTheme="minorEastAsia" w:hAnsi="Times New Roman" w:cs="Times New Roman"/>
          <w:sz w:val="28"/>
          <w:szCs w:val="28"/>
        </w:rPr>
        <w:t>diversity.</w:t>
      </w:r>
    </w:p>
    <w:p w:rsidR="00E719EC" w:rsidRPr="00E719EC" w:rsidRDefault="004A41CE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3083560</wp:posOffset>
            </wp:positionH>
            <wp:positionV relativeFrom="margin">
              <wp:posOffset>2494280</wp:posOffset>
            </wp:positionV>
            <wp:extent cx="3074670" cy="3013710"/>
            <wp:effectExtent l="19050" t="0" r="0" b="0"/>
            <wp:wrapSquare wrapText="bothSides"/>
            <wp:docPr id="3" name="Picture 2" descr="Favorite tweet by @simongerman600 : This #map shows the languages of #India.  It's a big task to form a coherent nat… | India map, Language map, Indian  history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vorite tweet by @simongerman600 : This #map shows the languages of #India.  It's a big task to form a coherent nat… | India map, Language map, Indian  history fa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9EC" w:rsidRDefault="00E719EC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19EC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2494484</wp:posOffset>
            </wp:positionV>
            <wp:extent cx="3206953" cy="2904134"/>
            <wp:effectExtent l="19050" t="0" r="0" b="0"/>
            <wp:wrapSquare wrapText="bothSides"/>
            <wp:docPr id="5" name="Picture 5" descr="http://2.bp.blogspot.com/_ht6sVcg7VR0/TU0HQnEgxsI/AAAAAAAABYE/olo8GZ9SDdw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_ht6sVcg7VR0/TU0HQnEgxsI/AAAAAAAABYE/olo8GZ9SDdw/s1600/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953" cy="29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678" w:rsidRDefault="004C5678" w:rsidP="00E719E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C5678" w:rsidRDefault="004C5678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Three hundred years of 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>British colonialism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did not dent this diversity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 xml:space="preserve">It endured despite people being forced to adopt 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>various civil laws and s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>ocial dictums (e.g. McCauley's E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ducation edicts), which applied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uniformly 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>throug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hout the land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At the height of Raj, less than 50000 British (white) masters controlled over 300 million (brown) subj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ects. Faced with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sheer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numbers of </w:t>
      </w:r>
      <w:r>
        <w:rPr>
          <w:rFonts w:ascii="Times New Roman" w:eastAsiaTheme="minorEastAsia" w:hAnsi="Times New Roman" w:cs="Times New Roman"/>
          <w:sz w:val="28"/>
          <w:szCs w:val="28"/>
        </w:rPr>
        <w:t>social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, economic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and political shades </w:t>
      </w:r>
      <w:r w:rsidR="00F27C44">
        <w:rPr>
          <w:rFonts w:ascii="Times New Roman" w:eastAsiaTheme="minorEastAsia" w:hAnsi="Times New Roman" w:cs="Times New Roman"/>
          <w:sz w:val="28"/>
          <w:szCs w:val="28"/>
        </w:rPr>
        <w:t>in the population, the Brits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 xml:space="preserve">wisely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focused on the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'</w:t>
      </w:r>
      <w:r>
        <w:rPr>
          <w:rFonts w:ascii="Times New Roman" w:eastAsiaTheme="minorEastAsia" w:hAnsi="Times New Roman" w:cs="Times New Roman"/>
          <w:sz w:val="28"/>
          <w:szCs w:val="28"/>
        </w:rPr>
        <w:t>Div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>ide and Rule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'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 policy. One by-p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roduct was to retard any movement towards 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national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homogeneity.</w:t>
      </w:r>
    </w:p>
    <w:p w:rsidR="00452D65" w:rsidRPr="00E719EC" w:rsidRDefault="00452D6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2D65" w:rsidRDefault="004C5678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Post-independence, 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>the democratic framework has ensured not only diver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sity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 xml:space="preserve">, but it has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encouraged </w:t>
      </w:r>
      <w:r>
        <w:rPr>
          <w:rFonts w:ascii="Times New Roman" w:eastAsiaTheme="minorEastAsia" w:hAnsi="Times New Roman" w:cs="Times New Roman"/>
          <w:sz w:val="28"/>
          <w:szCs w:val="28"/>
        </w:rPr>
        <w:t>multiplicity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 of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growing 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>diverse sect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ional demands. Ironically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lastRenderedPageBreak/>
        <w:t>ruling elites in the Delhi sultana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te have used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 xml:space="preserve"> the 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 xml:space="preserve">well-worn </w:t>
      </w:r>
      <w:r w:rsidR="0023091C">
        <w:rPr>
          <w:rFonts w:ascii="Times New Roman" w:eastAsiaTheme="minorEastAsia" w:hAnsi="Times New Roman" w:cs="Times New Roman"/>
          <w:sz w:val="28"/>
          <w:szCs w:val="28"/>
        </w:rPr>
        <w:t>col</w:t>
      </w:r>
      <w:r w:rsidR="007A045F">
        <w:rPr>
          <w:rFonts w:ascii="Times New Roman" w:eastAsiaTheme="minorEastAsia" w:hAnsi="Times New Roman" w:cs="Times New Roman"/>
          <w:sz w:val="28"/>
          <w:szCs w:val="28"/>
        </w:rPr>
        <w:t>onial divide and rule stratagem to advance their political and economic ideological goals.</w:t>
      </w:r>
    </w:p>
    <w:p w:rsidR="00452D65" w:rsidRDefault="00452D6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2D65" w:rsidRDefault="00452D6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Now, contrast this with what happened in Australia. </w:t>
      </w:r>
    </w:p>
    <w:p w:rsidR="00452D65" w:rsidRDefault="00452D6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2139" w:rsidRDefault="009023B4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Lieutenant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 Cook arrived in Australia in 1770 and against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all visible evidence – local tribes wa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>tched the landing in Botany Bay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declared Australia as </w:t>
      </w:r>
      <w:r w:rsidR="001D3088">
        <w:rPr>
          <w:rFonts w:ascii="Times New Roman" w:eastAsiaTheme="minorEastAsia" w:hAnsi="Times New Roman" w:cs="Times New Roman"/>
          <w:i/>
          <w:sz w:val="28"/>
          <w:szCs w:val="28"/>
        </w:rPr>
        <w:t>terra N</w:t>
      </w:r>
      <w:r w:rsidR="00452D65" w:rsidRPr="001D3088">
        <w:rPr>
          <w:rFonts w:ascii="Times New Roman" w:eastAsiaTheme="minorEastAsia" w:hAnsi="Times New Roman" w:cs="Times New Roman"/>
          <w:i/>
          <w:sz w:val="28"/>
          <w:szCs w:val="28"/>
        </w:rPr>
        <w:t>ulli</w:t>
      </w:r>
      <w:r w:rsidR="00863E91" w:rsidRPr="001D3088">
        <w:rPr>
          <w:rFonts w:ascii="Times New Roman" w:eastAsiaTheme="minorEastAsia" w:hAnsi="Times New Roman" w:cs="Times New Roman"/>
          <w:i/>
          <w:sz w:val="28"/>
          <w:szCs w:val="28"/>
        </w:rPr>
        <w:t>u</w:t>
      </w:r>
      <w:r w:rsidR="00452D65" w:rsidRPr="001D3088">
        <w:rPr>
          <w:rFonts w:ascii="Times New Roman" w:eastAsiaTheme="minorEastAsia" w:hAnsi="Times New Roman" w:cs="Times New Roman"/>
          <w:i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863E9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863E91">
        <w:rPr>
          <w:rFonts w:ascii="Times New Roman" w:eastAsiaTheme="minorEastAsia" w:hAnsi="Times New Roman" w:cs="Times New Roman"/>
          <w:sz w:val="28"/>
          <w:szCs w:val="28"/>
        </w:rPr>
        <w:t>nobody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'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s land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In e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ffect, that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legally deemed 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the land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to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 be unoccupied or uninhabited. In turn, t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hat set the ground for the unilateral establishment of Australia as a British Colony when the First Fleet arrived in 1788.</w:t>
      </w:r>
    </w:p>
    <w:p w:rsidR="00A22139" w:rsidRDefault="00A22139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4AB6" w:rsidRDefault="001D3088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The fact is that the A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boriginal people had been living on t</w:t>
      </w:r>
      <w:r w:rsidR="00452D65" w:rsidRPr="00E719EC">
        <w:rPr>
          <w:rFonts w:ascii="Times New Roman" w:eastAsiaTheme="minorEastAsia" w:hAnsi="Times New Roman" w:cs="Times New Roman"/>
          <w:sz w:val="28"/>
          <w:szCs w:val="28"/>
        </w:rPr>
        <w:t xml:space="preserve">he oldest continent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for millennia. 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It was </w:t>
      </w:r>
      <w:proofErr w:type="spellStart"/>
      <w:r w:rsidR="00A22139">
        <w:rPr>
          <w:rFonts w:ascii="Times New Roman" w:eastAsiaTheme="minorEastAsia" w:hAnsi="Times New Roman" w:cs="Times New Roman"/>
          <w:sz w:val="28"/>
          <w:szCs w:val="28"/>
        </w:rPr>
        <w:t>blackfella</w:t>
      </w:r>
      <w:proofErr w:type="spellEnd"/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 country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Vincent </w:t>
      </w:r>
      <w:proofErr w:type="spellStart"/>
      <w:r w:rsidR="00A22139">
        <w:rPr>
          <w:rFonts w:ascii="Times New Roman" w:eastAsiaTheme="minorEastAsia" w:hAnsi="Times New Roman" w:cs="Times New Roman"/>
          <w:sz w:val="28"/>
          <w:szCs w:val="28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>iangiari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 1966). The estimated A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>boriginal population was some 750000.  There were some 500 di</w:t>
      </w:r>
      <w:r w:rsidR="00E97BC1">
        <w:rPr>
          <w:rFonts w:ascii="Times New Roman" w:eastAsiaTheme="minorEastAsia" w:hAnsi="Times New Roman" w:cs="Times New Roman"/>
          <w:sz w:val="28"/>
          <w:szCs w:val="28"/>
        </w:rPr>
        <w:t xml:space="preserve">stinct clan groups or nations, </w:t>
      </w:r>
      <w:r w:rsidR="00A22139">
        <w:rPr>
          <w:rFonts w:ascii="Times New Roman" w:eastAsiaTheme="minorEastAsia" w:hAnsi="Times New Roman" w:cs="Times New Roman"/>
          <w:sz w:val="28"/>
          <w:szCs w:val="28"/>
        </w:rPr>
        <w:t xml:space="preserve">each with its language, laws, customs and cultural beliefs. 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>Australia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n continent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then </w:t>
      </w:r>
      <w:r w:rsidR="005B4AB6">
        <w:rPr>
          <w:rFonts w:ascii="Times New Roman" w:eastAsiaTheme="minorEastAsia" w:hAnsi="Times New Roman" w:cs="Times New Roman"/>
          <w:sz w:val="28"/>
          <w:szCs w:val="28"/>
        </w:rPr>
        <w:t xml:space="preserve">was the most diverse 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entity </w:t>
      </w:r>
      <w:r w:rsidR="005B4AB6">
        <w:rPr>
          <w:rFonts w:ascii="Times New Roman" w:eastAsiaTheme="minorEastAsia" w:hAnsi="Times New Roman" w:cs="Times New Roman"/>
          <w:sz w:val="28"/>
          <w:szCs w:val="28"/>
        </w:rPr>
        <w:t>on the planet with the possible exception of the Indian sub-continent. T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he Australian Institute of Aboriginal and Torres Strait Island Studies (AIATSIS) 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has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produced a map of First Nations, which says it all: </w:t>
      </w:r>
    </w:p>
    <w:p w:rsidR="005B4AB6" w:rsidRDefault="005B4AB6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B4AB6" w:rsidRDefault="00077743" w:rsidP="004A41C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719EC">
        <w:rPr>
          <w:rFonts w:eastAsiaTheme="minorEastAsia"/>
          <w:noProof/>
        </w:rPr>
        <w:drawing>
          <wp:inline distT="0" distB="0" distL="0" distR="0">
            <wp:extent cx="3524678" cy="3072384"/>
            <wp:effectExtent l="19050" t="0" r="0" b="0"/>
            <wp:docPr id="1" name="Picture 1" descr="And Torres Islander Australia Australians Of Strait - Aiatsis Map Of  Indigenous Australia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 Torres Islander Australia Australians Of Strait - Aiatsis Map Of  Indigenous Australia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9" t="5902" r="13720"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52" cy="30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B6" w:rsidRDefault="005B4AB6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3088" w:rsidRDefault="00A22139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Today, there are </w:t>
      </w:r>
      <w:r w:rsidR="005B4AB6">
        <w:rPr>
          <w:rFonts w:ascii="Times New Roman" w:eastAsiaTheme="minorEastAsia" w:hAnsi="Times New Roman" w:cs="Times New Roman"/>
          <w:sz w:val="28"/>
          <w:szCs w:val="28"/>
        </w:rPr>
        <w:t xml:space="preserve">some 800000 indigenous First Nation peoples in Australia.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>It has taken nearly 230 years for the indigenous population to grow</w:t>
      </w:r>
      <w:r w:rsidR="006532CF">
        <w:rPr>
          <w:rFonts w:ascii="Times New Roman" w:eastAsiaTheme="minorEastAsia" w:hAnsi="Times New Roman" w:cs="Times New Roman"/>
          <w:sz w:val="28"/>
          <w:szCs w:val="28"/>
        </w:rPr>
        <w:t xml:space="preserve"> back to its size at the time of the original settlement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9023B4" w:rsidRDefault="009023B4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22139" w:rsidRDefault="007D1964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The n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atural growth of the 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Aboriginal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population was offset by </w:t>
      </w:r>
      <w:r w:rsidR="00F05698">
        <w:rPr>
          <w:rFonts w:ascii="Times New Roman" w:eastAsiaTheme="minorEastAsia" w:hAnsi="Times New Roman" w:cs="Times New Roman"/>
          <w:sz w:val="28"/>
          <w:szCs w:val="28"/>
        </w:rPr>
        <w:t xml:space="preserve">what the successive waves of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>convicts, soldiers and settlers wrought: exotic disea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>ses</w:t>
      </w:r>
      <w:r w:rsidR="00C33305">
        <w:rPr>
          <w:rFonts w:ascii="Times New Roman" w:eastAsiaTheme="minorEastAsia" w:hAnsi="Times New Roman" w:cs="Times New Roman"/>
          <w:sz w:val="28"/>
          <w:szCs w:val="28"/>
        </w:rPr>
        <w:t xml:space="preserve"> (e.g. smallpox)</w:t>
      </w:r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; mini-genocides;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killings 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of 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>traditional owners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 of </w:t>
      </w:r>
      <w:r w:rsidR="00B72675">
        <w:rPr>
          <w:rFonts w:ascii="Times New Roman" w:eastAsiaTheme="minorEastAsia" w:hAnsi="Times New Roman" w:cs="Times New Roman"/>
          <w:sz w:val="28"/>
          <w:szCs w:val="28"/>
        </w:rPr>
        <w:t>in-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>land</w:t>
      </w:r>
      <w:r w:rsidR="00B72675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 snatched by white settlers for agriculture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; separating children from parents 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 xml:space="preserve">to 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'</w:t>
      </w:r>
      <w:proofErr w:type="spellStart"/>
      <w:r w:rsidR="002B2C46">
        <w:rPr>
          <w:rFonts w:ascii="Times New Roman" w:eastAsiaTheme="minorEastAsia" w:hAnsi="Times New Roman" w:cs="Times New Roman"/>
          <w:sz w:val="28"/>
          <w:szCs w:val="28"/>
        </w:rPr>
        <w:t>evangeli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="00B91543">
        <w:rPr>
          <w:rFonts w:ascii="Times New Roman" w:eastAsiaTheme="minorEastAsia" w:hAnsi="Times New Roman" w:cs="Times New Roman"/>
          <w:sz w:val="28"/>
          <w:szCs w:val="28"/>
        </w:rPr>
        <w:t>'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w:r w:rsidR="00B91543">
        <w:rPr>
          <w:rFonts w:ascii="Times New Roman" w:eastAsiaTheme="minorEastAsia" w:hAnsi="Times New Roman" w:cs="Times New Roman"/>
          <w:sz w:val="28"/>
          <w:szCs w:val="28"/>
        </w:rPr>
        <w:t>'</w:t>
      </w:r>
      <w:proofErr w:type="spellStart"/>
      <w:r w:rsidR="002B2C46">
        <w:rPr>
          <w:rFonts w:ascii="Times New Roman" w:eastAsiaTheme="minorEastAsia" w:hAnsi="Times New Roman" w:cs="Times New Roman"/>
          <w:sz w:val="28"/>
          <w:szCs w:val="28"/>
        </w:rPr>
        <w:t>civili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>s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="00B91543">
        <w:rPr>
          <w:rFonts w:ascii="Times New Roman" w:eastAsiaTheme="minorEastAsia" w:hAnsi="Times New Roman" w:cs="Times New Roman"/>
          <w:sz w:val="28"/>
          <w:szCs w:val="28"/>
        </w:rPr>
        <w:t>'</w:t>
      </w:r>
      <w:r w:rsidR="002B2C46">
        <w:rPr>
          <w:rFonts w:ascii="Times New Roman" w:eastAsiaTheme="minorEastAsia" w:hAnsi="Times New Roman" w:cs="Times New Roman"/>
          <w:sz w:val="28"/>
          <w:szCs w:val="28"/>
        </w:rPr>
        <w:t xml:space="preserve"> them</w:t>
      </w:r>
      <w:r w:rsidR="0007774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proofErr w:type="spellStart"/>
      <w:r w:rsidR="00AA383E">
        <w:rPr>
          <w:rFonts w:ascii="Times New Roman" w:eastAsiaTheme="minorEastAsia" w:hAnsi="Times New Roman" w:cs="Times New Roman"/>
          <w:sz w:val="28"/>
          <w:szCs w:val="28"/>
        </w:rPr>
        <w:t>popularisation</w:t>
      </w:r>
      <w:proofErr w:type="spellEnd"/>
      <w:r w:rsidR="00AA383E">
        <w:rPr>
          <w:rFonts w:ascii="Times New Roman" w:eastAsiaTheme="minorEastAsia" w:hAnsi="Times New Roman" w:cs="Times New Roman"/>
          <w:sz w:val="28"/>
          <w:szCs w:val="28"/>
        </w:rPr>
        <w:t xml:space="preserve"> of alcohol; deaths in custody on trivi</w:t>
      </w:r>
      <w:r w:rsidR="00A8384C">
        <w:rPr>
          <w:rFonts w:ascii="Times New Roman" w:eastAsiaTheme="minorEastAsia" w:hAnsi="Times New Roman" w:cs="Times New Roman"/>
          <w:sz w:val="28"/>
          <w:szCs w:val="28"/>
        </w:rPr>
        <w:t xml:space="preserve">al offences. </w:t>
      </w:r>
      <w:r w:rsidR="00CD56CD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8384C">
        <w:rPr>
          <w:rFonts w:ascii="Times New Roman" w:eastAsiaTheme="minorEastAsia" w:hAnsi="Times New Roman" w:cs="Times New Roman"/>
          <w:sz w:val="28"/>
          <w:szCs w:val="28"/>
        </w:rPr>
        <w:t xml:space="preserve">Even today, 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Aboriginals comprise </w:t>
      </w:r>
      <w:r w:rsidR="00A8384C">
        <w:rPr>
          <w:rFonts w:ascii="Times New Roman" w:eastAsiaTheme="minorEastAsia" w:hAnsi="Times New Roman" w:cs="Times New Roman"/>
          <w:sz w:val="28"/>
          <w:szCs w:val="28"/>
        </w:rPr>
        <w:t xml:space="preserve">2% </w:t>
      </w:r>
      <w:r w:rsidR="00706E81">
        <w:rPr>
          <w:rFonts w:ascii="Times New Roman" w:eastAsiaTheme="minorEastAsia" w:hAnsi="Times New Roman" w:cs="Times New Roman"/>
          <w:sz w:val="28"/>
          <w:szCs w:val="28"/>
        </w:rPr>
        <w:t xml:space="preserve">of the </w:t>
      </w:r>
      <w:r w:rsidR="00A8384C">
        <w:rPr>
          <w:rFonts w:ascii="Times New Roman" w:eastAsiaTheme="minorEastAsia" w:hAnsi="Times New Roman" w:cs="Times New Roman"/>
          <w:sz w:val="28"/>
          <w:szCs w:val="28"/>
        </w:rPr>
        <w:t xml:space="preserve">population </w:t>
      </w:r>
      <w:r w:rsidR="00706E81">
        <w:rPr>
          <w:rFonts w:ascii="Times New Roman" w:eastAsiaTheme="minorEastAsia" w:hAnsi="Times New Roman" w:cs="Times New Roman"/>
          <w:sz w:val="28"/>
          <w:szCs w:val="28"/>
        </w:rPr>
        <w:t xml:space="preserve">but 28% </w:t>
      </w:r>
      <w:r w:rsidR="00A8384C">
        <w:rPr>
          <w:rFonts w:ascii="Times New Roman" w:eastAsiaTheme="minorEastAsia" w:hAnsi="Times New Roman" w:cs="Times New Roman"/>
          <w:sz w:val="28"/>
          <w:szCs w:val="28"/>
        </w:rPr>
        <w:t>of those in prison.</w:t>
      </w:r>
      <w:r w:rsidR="00CD56C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07C3B" w:rsidRDefault="00E07C3B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72675" w:rsidRDefault="00B7267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It should be </w:t>
      </w:r>
      <w:r w:rsidR="00BC28EA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>
        <w:rPr>
          <w:rFonts w:ascii="Times New Roman" w:eastAsiaTheme="minorEastAsia" w:hAnsi="Times New Roman" w:cs="Times New Roman"/>
          <w:sz w:val="28"/>
          <w:szCs w:val="28"/>
        </w:rPr>
        <w:t>salutary reminder to those who pride the</w:t>
      </w:r>
      <w:r w:rsidR="00BC28EA">
        <w:rPr>
          <w:rFonts w:ascii="Times New Roman" w:eastAsiaTheme="minorEastAsia" w:hAnsi="Times New Roman" w:cs="Times New Roman"/>
          <w:sz w:val="28"/>
          <w:szCs w:val="28"/>
        </w:rPr>
        <w:t xml:space="preserve">mselves on their ancient </w:t>
      </w:r>
      <w:proofErr w:type="spellStart"/>
      <w:r w:rsidR="00BC28EA">
        <w:rPr>
          <w:rFonts w:ascii="Times New Roman" w:eastAsiaTheme="minorEastAsia" w:hAnsi="Times New Roman" w:cs="Times New Roman"/>
          <w:sz w:val="28"/>
          <w:szCs w:val="28"/>
        </w:rPr>
        <w:t>civilis</w:t>
      </w:r>
      <w:r>
        <w:rPr>
          <w:rFonts w:ascii="Times New Roman" w:eastAsiaTheme="minorEastAsia" w:hAnsi="Times New Roman" w:cs="Times New Roman"/>
          <w:sz w:val="28"/>
          <w:szCs w:val="28"/>
        </w:rPr>
        <w:t>ational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history</w:t>
      </w:r>
      <w:r w:rsidR="00F27C4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>main</w:t>
      </w:r>
      <w:r w:rsidR="00F27C44">
        <w:rPr>
          <w:rFonts w:ascii="Times New Roman" w:eastAsiaTheme="minorEastAsia" w:hAnsi="Times New Roman" w:cs="Times New Roman"/>
          <w:sz w:val="28"/>
          <w:szCs w:val="28"/>
        </w:rPr>
        <w:t xml:space="preserve">ly Indians and </w:t>
      </w:r>
      <w:proofErr w:type="gramStart"/>
      <w:r w:rsidR="00F27C44">
        <w:rPr>
          <w:rFonts w:ascii="Times New Roman" w:eastAsiaTheme="minorEastAsia" w:hAnsi="Times New Roman" w:cs="Times New Roman"/>
          <w:sz w:val="28"/>
          <w:szCs w:val="28"/>
        </w:rPr>
        <w:t>Chinese,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that</w:t>
      </w:r>
      <w:proofErr w:type="gramEnd"/>
      <w:r w:rsidR="009023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>Australian A</w:t>
      </w:r>
      <w:r w:rsidR="00E07C3B">
        <w:rPr>
          <w:rFonts w:ascii="Times New Roman" w:eastAsiaTheme="minorEastAsia" w:hAnsi="Times New Roman" w:cs="Times New Roman"/>
          <w:sz w:val="28"/>
          <w:szCs w:val="28"/>
        </w:rPr>
        <w:t xml:space="preserve">boriginals and Torres Strait Islanders are the oldest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known </w:t>
      </w:r>
      <w:r w:rsidR="00E07C3B">
        <w:rPr>
          <w:rFonts w:ascii="Times New Roman" w:eastAsiaTheme="minorEastAsia" w:hAnsi="Times New Roman" w:cs="Times New Roman"/>
          <w:sz w:val="28"/>
          <w:szCs w:val="28"/>
        </w:rPr>
        <w:t>surviving culture on the planet.</w:t>
      </w:r>
    </w:p>
    <w:p w:rsidR="00E07C3B" w:rsidRDefault="00EF750E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It is</w:t>
      </w:r>
      <w:r w:rsidR="00B72675">
        <w:rPr>
          <w:rFonts w:ascii="Times New Roman" w:eastAsiaTheme="minorEastAsia" w:hAnsi="Times New Roman" w:cs="Times New Roman"/>
          <w:sz w:val="28"/>
          <w:szCs w:val="28"/>
        </w:rPr>
        <w:t>, therefore,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to the credit of the 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>Australian polity, indigenous and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non-indig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>e</w:t>
      </w:r>
      <w:r>
        <w:rPr>
          <w:rFonts w:ascii="Times New Roman" w:eastAsiaTheme="minorEastAsia" w:hAnsi="Times New Roman" w:cs="Times New Roman"/>
          <w:sz w:val="28"/>
          <w:szCs w:val="28"/>
        </w:rPr>
        <w:t>nous</w:t>
      </w:r>
      <w:r w:rsidR="007D1964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that at formal occasions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the First Nations people</w:t>
      </w:r>
      <w:r w:rsidR="001D3088">
        <w:rPr>
          <w:rFonts w:ascii="Times New Roman" w:eastAsiaTheme="minorEastAsia" w:hAnsi="Times New Roman" w:cs="Times New Roman"/>
          <w:sz w:val="28"/>
          <w:szCs w:val="28"/>
        </w:rPr>
        <w:t xml:space="preserve"> are acknowledged</w:t>
      </w:r>
      <w:r w:rsidR="009023B4">
        <w:rPr>
          <w:rFonts w:ascii="Times New Roman" w:eastAsiaTheme="minorEastAsia" w:hAnsi="Times New Roman" w:cs="Times New Roman"/>
          <w:sz w:val="28"/>
          <w:szCs w:val="28"/>
        </w:rPr>
        <w:t xml:space="preserve"> as the original owners of the land</w:t>
      </w:r>
      <w:r w:rsidR="007D1964">
        <w:rPr>
          <w:rFonts w:ascii="Times New Roman" w:eastAsiaTheme="minorEastAsia" w:hAnsi="Times New Roman" w:cs="Times New Roman"/>
          <w:sz w:val="28"/>
          <w:szCs w:val="28"/>
        </w:rPr>
        <w:t>. For example, an official</w:t>
      </w:r>
      <w:r w:rsidR="00B72675">
        <w:rPr>
          <w:rFonts w:ascii="Times New Roman" w:eastAsiaTheme="minorEastAsia" w:hAnsi="Times New Roman" w:cs="Times New Roman"/>
          <w:sz w:val="28"/>
          <w:szCs w:val="28"/>
        </w:rPr>
        <w:t xml:space="preserve"> speech in Canberra </w:t>
      </w:r>
      <w:r>
        <w:rPr>
          <w:rFonts w:ascii="Times New Roman" w:eastAsiaTheme="minorEastAsia" w:hAnsi="Times New Roman" w:cs="Times New Roman"/>
          <w:sz w:val="28"/>
          <w:szCs w:val="28"/>
        </w:rPr>
        <w:t>commence</w:t>
      </w:r>
      <w:r w:rsidR="00B72675"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with:</w:t>
      </w:r>
    </w:p>
    <w:p w:rsidR="008F6B2E" w:rsidRDefault="008F6B2E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6B2E" w:rsidRDefault="0023091C" w:rsidP="008F6B2E">
      <w:pPr>
        <w:pStyle w:val="NormalWeb"/>
        <w:shd w:val="clear" w:color="auto" w:fill="FFFFFF"/>
        <w:spacing w:before="0" w:beforeAutospacing="0" w:after="300" w:afterAutospacing="0" w:line="450" w:lineRule="atLeast"/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</w:pPr>
      <w:r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'</w:t>
      </w:r>
      <w:r w:rsidR="008F6B2E"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I/We wish to acknowledge the traditional custodians of the land we are meeting on, the Ngunnawal people. I/We wish to acknowledge and respect their continuing culture and the contribution they make to the life of this city and this r</w:t>
      </w:r>
      <w:r w:rsidR="00F17EE3"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egion.</w:t>
      </w:r>
      <w:r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'</w:t>
      </w:r>
    </w:p>
    <w:p w:rsidR="008F6B2E" w:rsidRDefault="008F6B2E" w:rsidP="008F6B2E">
      <w:pPr>
        <w:pStyle w:val="NormalWeb"/>
        <w:shd w:val="clear" w:color="auto" w:fill="FFFFFF"/>
        <w:spacing w:before="0" w:beforeAutospacing="0" w:after="300" w:afterAutospacing="0" w:line="450" w:lineRule="atLeast"/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</w:pP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Incidentally, i</w:t>
      </w:r>
      <w:r w:rsidR="00E12A18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t is to the credit of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 the </w:t>
      </w:r>
      <w:r w:rsidR="00E12A18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Indian 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Prime Minister</w:t>
      </w:r>
      <w:r w:rsidR="0023091C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'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s Office that stray advice prompted Prime Minister Modi to </w:t>
      </w:r>
      <w:r w:rsidR="007D1964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commence his Address to the Joint Session of the Australian Parliament in November 2014 </w:t>
      </w:r>
      <w:r w:rsidR="00512E01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with the acknowledgem</w:t>
      </w:r>
      <w:r w:rsidR="00E12A18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ent that he was speaking in th</w:t>
      </w:r>
      <w:r w:rsidR="00512E01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e</w:t>
      </w:r>
      <w:r w:rsidR="009773B9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 </w:t>
      </w:r>
      <w:r w:rsidR="00512E01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land of the Ngunn</w:t>
      </w:r>
      <w:r w:rsidR="00E12A18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a</w:t>
      </w:r>
      <w:r w:rsidR="00512E01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wal people.</w:t>
      </w:r>
      <w:r w:rsidR="009773B9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 That gesture, one of the very first by a visiting Head of Government, earned him much kudos.</w:t>
      </w:r>
    </w:p>
    <w:p w:rsidR="00E12A18" w:rsidRDefault="00E12A18" w:rsidP="008F6B2E">
      <w:pPr>
        <w:pStyle w:val="NormalWeb"/>
        <w:shd w:val="clear" w:color="auto" w:fill="FFFFFF"/>
        <w:spacing w:before="0" w:beforeAutospacing="0" w:after="300" w:afterAutospacing="0" w:line="450" w:lineRule="atLeast"/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</w:pP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Is it not </w:t>
      </w:r>
      <w:r w:rsidR="009773B9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a 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time for Indian </w:t>
      </w:r>
      <w:proofErr w:type="spellStart"/>
      <w:r w:rsidRPr="0023091C"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netas</w:t>
      </w:r>
      <w:proofErr w:type="spellEnd"/>
      <w:r w:rsidR="00F17EE3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 and </w:t>
      </w:r>
      <w:proofErr w:type="spellStart"/>
      <w:r w:rsidR="00F17EE3" w:rsidRPr="00F17EE3"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>babus</w:t>
      </w:r>
      <w:proofErr w:type="spellEnd"/>
      <w:r w:rsidR="009773B9">
        <w:rPr>
          <w:rStyle w:val="Emphasis"/>
          <w:rFonts w:ascii="Segoe UI" w:eastAsiaTheme="majorEastAsia" w:hAnsi="Segoe UI" w:cs="Segoe UI"/>
          <w:color w:val="313131"/>
          <w:sz w:val="27"/>
          <w:szCs w:val="27"/>
          <w:bdr w:val="none" w:sz="0" w:space="0" w:color="auto" w:frame="1"/>
        </w:rPr>
        <w:t xml:space="preserve"> 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to acknowledge the her</w:t>
      </w:r>
      <w:r w:rsidR="00CD56CD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itage and </w:t>
      </w:r>
      <w:r w:rsidR="00A947A1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the continuing value of the tribal people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 to the </w:t>
      </w:r>
      <w:r w:rsidR="00CD56CD"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 xml:space="preserve">making of the </w:t>
      </w: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Indian nation?</w:t>
      </w:r>
    </w:p>
    <w:p w:rsidR="005751BE" w:rsidRDefault="005751BE" w:rsidP="008F6B2E">
      <w:pPr>
        <w:pStyle w:val="NormalWeb"/>
        <w:shd w:val="clear" w:color="auto" w:fill="FFFFFF"/>
        <w:spacing w:before="0" w:beforeAutospacing="0" w:after="300" w:afterAutospacing="0" w:line="450" w:lineRule="atLeast"/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</w:pP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Rakesh Ahuja</w:t>
      </w:r>
    </w:p>
    <w:p w:rsidR="005751BE" w:rsidRPr="008F6B2E" w:rsidRDefault="005751BE" w:rsidP="008F6B2E">
      <w:pPr>
        <w:pStyle w:val="NormalWeb"/>
        <w:shd w:val="clear" w:color="auto" w:fill="FFFFFF"/>
        <w:spacing w:before="0" w:beforeAutospacing="0" w:after="300" w:afterAutospacing="0" w:line="450" w:lineRule="atLeast"/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</w:pPr>
      <w:r>
        <w:rPr>
          <w:rStyle w:val="Emphasis"/>
          <w:rFonts w:ascii="Segoe UI" w:eastAsiaTheme="majorEastAsia" w:hAnsi="Segoe UI" w:cs="Segoe UI"/>
          <w:i w:val="0"/>
          <w:color w:val="313131"/>
          <w:sz w:val="27"/>
          <w:szCs w:val="27"/>
          <w:bdr w:val="none" w:sz="0" w:space="0" w:color="auto" w:frame="1"/>
        </w:rPr>
        <w:t>3 November 2020</w:t>
      </w:r>
      <w:bookmarkStart w:id="0" w:name="_GoBack"/>
      <w:bookmarkEnd w:id="0"/>
    </w:p>
    <w:p w:rsidR="008F6B2E" w:rsidRDefault="008F6B2E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6B2E" w:rsidRDefault="008F6B2E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6B2E" w:rsidRDefault="008F6B2E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2D65" w:rsidRDefault="00452D65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63E91" w:rsidRDefault="00863E91" w:rsidP="00452D6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63E91" w:rsidSect="00950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sDSwMAQiI3MLMyUdpeDU4uLM/DyQAotaAHRFRA4sAAAA"/>
  </w:docVars>
  <w:rsids>
    <w:rsidRoot w:val="00E719EC"/>
    <w:rsid w:val="00077743"/>
    <w:rsid w:val="0007787A"/>
    <w:rsid w:val="001A17E1"/>
    <w:rsid w:val="001D3088"/>
    <w:rsid w:val="0023091C"/>
    <w:rsid w:val="002B2C46"/>
    <w:rsid w:val="00452D65"/>
    <w:rsid w:val="004A41CE"/>
    <w:rsid w:val="004C5678"/>
    <w:rsid w:val="00512E01"/>
    <w:rsid w:val="00514FA1"/>
    <w:rsid w:val="005751BE"/>
    <w:rsid w:val="005B4AB6"/>
    <w:rsid w:val="00630C81"/>
    <w:rsid w:val="00645252"/>
    <w:rsid w:val="006532CF"/>
    <w:rsid w:val="006D19BC"/>
    <w:rsid w:val="006D3D74"/>
    <w:rsid w:val="00706E81"/>
    <w:rsid w:val="0071515D"/>
    <w:rsid w:val="00736046"/>
    <w:rsid w:val="007A045F"/>
    <w:rsid w:val="007D1964"/>
    <w:rsid w:val="0083569A"/>
    <w:rsid w:val="00863E91"/>
    <w:rsid w:val="008F6B2E"/>
    <w:rsid w:val="009023B4"/>
    <w:rsid w:val="009504DD"/>
    <w:rsid w:val="009773B9"/>
    <w:rsid w:val="009C5FD2"/>
    <w:rsid w:val="00A22139"/>
    <w:rsid w:val="00A52E1B"/>
    <w:rsid w:val="00A82144"/>
    <w:rsid w:val="00A8384C"/>
    <w:rsid w:val="00A9204E"/>
    <w:rsid w:val="00A947A1"/>
    <w:rsid w:val="00AA383E"/>
    <w:rsid w:val="00B0210B"/>
    <w:rsid w:val="00B20349"/>
    <w:rsid w:val="00B72675"/>
    <w:rsid w:val="00B91543"/>
    <w:rsid w:val="00BA4B29"/>
    <w:rsid w:val="00BC28EA"/>
    <w:rsid w:val="00BE0D18"/>
    <w:rsid w:val="00C33305"/>
    <w:rsid w:val="00CD56CD"/>
    <w:rsid w:val="00D475C2"/>
    <w:rsid w:val="00DB1A5B"/>
    <w:rsid w:val="00E07C3B"/>
    <w:rsid w:val="00E12A18"/>
    <w:rsid w:val="00E719EC"/>
    <w:rsid w:val="00E74A33"/>
    <w:rsid w:val="00E97BC1"/>
    <w:rsid w:val="00EF750E"/>
    <w:rsid w:val="00F05698"/>
    <w:rsid w:val="00F157D4"/>
    <w:rsid w:val="00F17EE3"/>
    <w:rsid w:val="00F2726D"/>
    <w:rsid w:val="00F27C44"/>
    <w:rsid w:val="00F3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F38E6-9500-47C9-8BC1-A1C8E475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504D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504D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504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4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04D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504D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04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504D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04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4D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504D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504DD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504D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hgkelc">
    <w:name w:val="hgkelc"/>
    <w:basedOn w:val="DefaultParagraphFont"/>
    <w:rsid w:val="00F35B5E"/>
  </w:style>
  <w:style w:type="character" w:customStyle="1" w:styleId="kx21rb">
    <w:name w:val="kx21rb"/>
    <w:basedOn w:val="DefaultParagraphFont"/>
    <w:rsid w:val="00F35B5E"/>
  </w:style>
  <w:style w:type="paragraph" w:styleId="NormalWeb">
    <w:name w:val="Normal (Web)"/>
    <w:basedOn w:val="Normal"/>
    <w:uiPriority w:val="99"/>
    <w:unhideWhenUsed/>
    <w:rsid w:val="00DB1A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936">
          <w:blockQuote w:val="1"/>
          <w:marLeft w:val="0"/>
          <w:marRight w:val="0"/>
          <w:marTop w:val="450"/>
          <w:marBottom w:val="60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  <w:div w:id="181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21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Ahuja</dc:creator>
  <cp:lastModifiedBy>Rakesh Ahuja</cp:lastModifiedBy>
  <cp:revision>8</cp:revision>
  <dcterms:created xsi:type="dcterms:W3CDTF">2020-11-07T11:05:00Z</dcterms:created>
  <dcterms:modified xsi:type="dcterms:W3CDTF">2020-11-07T11:27:00Z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